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rFonts w:cs="Calibri" w:cstheme="minorHAnsi"/>
        </w:rPr>
      </w:pPr>
      <w:r>
        <w:rPr>
          <w:rFonts w:cs="Calibri" w:cstheme="minorHAnsi"/>
        </w:rPr>
      </w:r>
    </w:p>
    <w:tbl>
      <w:tblPr>
        <w:tblW w:w="5000" w:type="pct"/>
        <w:jc w:val="left"/>
        <w:tblInd w:w="55" w:type="dxa"/>
        <w:tblLayout w:type="fixed"/>
        <w:tblCellMar>
          <w:top w:w="55" w:type="dxa"/>
          <w:left w:w="55" w:type="dxa"/>
          <w:bottom w:w="55" w:type="dxa"/>
          <w:right w:w="55" w:type="dxa"/>
        </w:tblCellMar>
      </w:tblPr>
      <w:tblGrid>
        <w:gridCol w:w="5385"/>
        <w:gridCol w:w="5386"/>
      </w:tblGrid>
      <w:tr>
        <w:trPr/>
        <w:tc>
          <w:tcPr>
            <w:tcW w:w="5385" w:type="dxa"/>
            <w:tcBorders>
              <w:top w:val="single" w:sz="4" w:space="0" w:color="000000"/>
              <w:left w:val="single" w:sz="4" w:space="0" w:color="000000"/>
              <w:bottom w:val="single" w:sz="4" w:space="0" w:color="000000"/>
            </w:tcBorders>
          </w:tcPr>
          <w:p>
            <w:pPr>
              <w:pStyle w:val="Normal"/>
              <w:bidi w:val="0"/>
              <w:jc w:val="left"/>
              <w:rPr>
                <w:rFonts w:ascii="Calibri" w:hAnsi="Calibri"/>
                <w:sz w:val="21"/>
                <w:szCs w:val="21"/>
              </w:rPr>
            </w:pPr>
            <w:r>
              <w:rPr>
                <w:rFonts w:cs="Calibri" w:cstheme="minorHAnsi"/>
                <w:sz w:val="21"/>
                <w:szCs w:val="21"/>
              </w:rPr>
              <w:t>Mittente:</w:t>
            </w:r>
          </w:p>
          <w:p>
            <w:pPr>
              <w:pStyle w:val="Normal"/>
              <w:bidi w:val="0"/>
              <w:jc w:val="left"/>
              <w:rPr>
                <w:rFonts w:ascii="Calibri" w:hAnsi="Calibri"/>
                <w:sz w:val="21"/>
                <w:szCs w:val="21"/>
              </w:rPr>
            </w:pPr>
            <w:r>
              <w:rPr>
                <w:rFonts w:cs="Calibri" w:cstheme="minorHAnsi"/>
                <w:sz w:val="21"/>
                <w:szCs w:val="21"/>
                <w:shd w:fill="FFFF00" w:val="clear"/>
              </w:rPr>
              <w:t>Nome, cognome</w:t>
              <w:br/>
              <w:t>indirizzo</w:t>
            </w:r>
            <w:r>
              <w:rPr>
                <w:rFonts w:cs="Calibri" w:cstheme="minorHAnsi"/>
                <w:sz w:val="21"/>
                <w:szCs w:val="21"/>
              </w:rPr>
              <w:br/>
              <w:t>...............................................</w:t>
            </w:r>
          </w:p>
          <w:p>
            <w:pPr>
              <w:pStyle w:val="Normal"/>
              <w:bidi w:val="0"/>
              <w:jc w:val="right"/>
              <w:rPr>
                <w:rFonts w:ascii="Calibri" w:hAnsi="Calibri"/>
                <w:sz w:val="21"/>
                <w:szCs w:val="21"/>
              </w:rPr>
            </w:pPr>
            <w:r>
              <w:rPr>
                <w:rFonts w:cs="Calibri" w:cstheme="minorHAnsi"/>
                <w:sz w:val="21"/>
                <w:szCs w:val="21"/>
                <w:shd w:fill="auto" w:val="clear"/>
              </w:rPr>
              <w:t>Al gentile deputato/senatore</w:t>
            </w:r>
          </w:p>
          <w:p>
            <w:pPr>
              <w:pStyle w:val="Normal"/>
              <w:bidi w:val="0"/>
              <w:jc w:val="right"/>
              <w:rPr>
                <w:rFonts w:ascii="Calibri" w:hAnsi="Calibri"/>
                <w:sz w:val="21"/>
                <w:szCs w:val="21"/>
              </w:rPr>
            </w:pPr>
            <w:r>
              <w:rPr>
                <w:rFonts w:cs="Calibri" w:cstheme="minorHAnsi"/>
                <w:sz w:val="21"/>
                <w:szCs w:val="21"/>
                <w:shd w:fill="FFFF00" w:val="clear"/>
              </w:rPr>
              <w:t>xy</w:t>
            </w:r>
          </w:p>
          <w:tbl>
            <w:tblPr>
              <w:tblW w:w="9966" w:type="dxa"/>
              <w:jc w:val="left"/>
              <w:tblInd w:w="0" w:type="dxa"/>
              <w:tblLayout w:type="fixed"/>
              <w:tblCellMar>
                <w:top w:w="0" w:type="dxa"/>
                <w:left w:w="70" w:type="dxa"/>
                <w:bottom w:w="0" w:type="dxa"/>
                <w:right w:w="70" w:type="dxa"/>
              </w:tblCellMar>
              <w:tblLook w:val="04a0" w:noVBand="1" w:noHBand="0" w:lastColumn="0" w:firstColumn="1" w:lastRow="0" w:firstRow="1"/>
            </w:tblPr>
            <w:tblGrid>
              <w:gridCol w:w="9966"/>
            </w:tblGrid>
            <w:tr>
              <w:trPr>
                <w:trHeight w:val="252" w:hRule="atLeast"/>
              </w:trPr>
              <w:tc>
                <w:tcPr>
                  <w:tcW w:w="9966" w:type="dxa"/>
                  <w:tcBorders/>
                  <w:shd w:color="auto" w:fill="auto" w:val="clear"/>
                  <w:vAlign w:val="center"/>
                </w:tcPr>
                <w:p>
                  <w:pPr>
                    <w:pStyle w:val="Normal"/>
                    <w:widowControl/>
                    <w:suppressAutoHyphens w:val="true"/>
                    <w:bidi w:val="0"/>
                    <w:spacing w:lineRule="auto" w:line="240" w:before="0" w:after="0"/>
                    <w:ind w:hanging="0" w:left="0" w:right="4649"/>
                    <w:jc w:val="left"/>
                    <w:rPr>
                      <w:rFonts w:ascii="Calibri" w:hAnsi="Calibri" w:cs="" w:asciiTheme="minorHAnsi" w:cstheme="minorBidi" w:hAnsiTheme="minorHAnsi"/>
                      <w:sz w:val="21"/>
                      <w:szCs w:val="21"/>
                      <w:highlight w:val="none"/>
                      <w:shd w:fill="auto" w:val="clear"/>
                    </w:rPr>
                  </w:pPr>
                  <w:r>
                    <w:rPr>
                      <w:rFonts w:eastAsia="Times New Roman" w:cs="Times New Roman"/>
                      <w:b/>
                      <w:bCs/>
                      <w:color w:val="000000"/>
                      <w:sz w:val="21"/>
                      <w:szCs w:val="21"/>
                      <w:shd w:fill="auto" w:val="clear"/>
                      <w:lang w:eastAsia="it-IT"/>
                    </w:rPr>
                    <w:t>Oggetto: Richiesta di intervento al nostro governo e al Parlamento, perché quest</w:t>
                  </w:r>
                  <w:r>
                    <w:rPr>
                      <w:rFonts w:eastAsia="Times New Roman" w:cs="Times New Roman"/>
                      <w:b/>
                      <w:bCs/>
                      <w:color w:val="000000"/>
                      <w:sz w:val="21"/>
                      <w:szCs w:val="21"/>
                      <w:shd w:fill="auto" w:val="clear"/>
                      <w:lang w:eastAsia="it-IT"/>
                    </w:rPr>
                    <w:t>i</w:t>
                  </w:r>
                  <w:r>
                    <w:rPr>
                      <w:rFonts w:eastAsia="Times New Roman" w:cs="Times New Roman"/>
                      <w:b/>
                      <w:bCs/>
                      <w:color w:val="000000"/>
                      <w:sz w:val="21"/>
                      <w:szCs w:val="21"/>
                      <w:shd w:fill="auto" w:val="clear"/>
                      <w:lang w:eastAsia="it-IT"/>
                    </w:rPr>
                    <w:t xml:space="preserve"> respinga</w:t>
                  </w:r>
                  <w:r>
                    <w:rPr>
                      <w:rFonts w:eastAsia="Times New Roman" w:cs="Times New Roman"/>
                      <w:b/>
                      <w:bCs/>
                      <w:color w:val="000000"/>
                      <w:sz w:val="21"/>
                      <w:szCs w:val="21"/>
                      <w:shd w:fill="auto" w:val="clear"/>
                      <w:lang w:eastAsia="it-IT"/>
                    </w:rPr>
                    <w:t>no</w:t>
                  </w:r>
                  <w:r>
                    <w:rPr>
                      <w:rFonts w:eastAsia="Times New Roman" w:cs="Times New Roman"/>
                      <w:b/>
                      <w:bCs/>
                      <w:color w:val="000000"/>
                      <w:sz w:val="21"/>
                      <w:szCs w:val="21"/>
                      <w:shd w:fill="auto" w:val="clear"/>
                      <w:lang w:eastAsia="it-IT"/>
                    </w:rPr>
                    <w:t xml:space="preserve"> gli emendamenti al Regolamento Sanitario Internazionale (RSI), approvati durante la 77ª Assemblea dell'OMS, il 1° giugno 2024.</w:t>
                  </w:r>
                </w:p>
              </w:tc>
            </w:tr>
            <w:tr>
              <w:trPr>
                <w:trHeight w:val="269" w:hRule="atLeast"/>
              </w:trPr>
              <w:tc>
                <w:tcPr>
                  <w:tcW w:w="9966" w:type="dxa"/>
                  <w:tcBorders/>
                  <w:shd w:color="auto" w:fill="auto" w:val="clear"/>
                  <w:vAlign w:val="center"/>
                </w:tcPr>
                <w:p>
                  <w:pPr>
                    <w:pStyle w:val="Normal"/>
                    <w:widowControl/>
                    <w:suppressAutoHyphens w:val="true"/>
                    <w:bidi w:val="0"/>
                    <w:spacing w:lineRule="auto" w:line="240" w:before="0" w:after="0"/>
                    <w:ind w:hanging="0" w:left="0" w:right="4649"/>
                    <w:jc w:val="left"/>
                    <w:rPr>
                      <w:rFonts w:ascii="Calibri" w:hAnsi="Calibri" w:eastAsia="Times New Roman" w:cs="Calibri"/>
                      <w:color w:val="FF0000"/>
                      <w:sz w:val="21"/>
                      <w:szCs w:val="21"/>
                      <w:lang w:eastAsia="it-IT"/>
                    </w:rPr>
                  </w:pPr>
                  <w:r>
                    <w:rPr>
                      <w:rFonts w:eastAsia="Times New Roman" w:cs="Calibri"/>
                      <w:color w:val="FF0000"/>
                      <w:sz w:val="21"/>
                      <w:szCs w:val="21"/>
                      <w:lang w:eastAsia="it-IT"/>
                    </w:rPr>
                  </w:r>
                </w:p>
              </w:tc>
            </w:tr>
          </w:tbl>
          <w:p>
            <w:pPr>
              <w:pStyle w:val="BodyText"/>
              <w:rPr>
                <w:rFonts w:ascii="Calibri" w:hAnsi="Calibri"/>
                <w:sz w:val="21"/>
                <w:szCs w:val="21"/>
                <w:highlight w:val="none"/>
                <w:shd w:fill="auto" w:val="clear"/>
              </w:rPr>
            </w:pPr>
            <w:r>
              <w:rPr>
                <w:rFonts w:eastAsia="Times New Roman" w:cs="Times New Roman"/>
                <w:color w:val="000000"/>
                <w:sz w:val="21"/>
                <w:szCs w:val="21"/>
                <w:shd w:fill="auto" w:val="clear"/>
                <w:lang w:eastAsia="it-IT"/>
              </w:rPr>
              <w:t>Gentile Onorevole,</w:t>
            </w:r>
          </w:p>
          <w:p>
            <w:pPr>
              <w:pStyle w:val="BodyText"/>
              <w:rPr>
                <w:rFonts w:ascii="Calibri" w:hAnsi="Calibri"/>
                <w:sz w:val="21"/>
                <w:szCs w:val="21"/>
              </w:rPr>
            </w:pPr>
            <w:r>
              <w:rPr>
                <w:sz w:val="21"/>
                <w:szCs w:val="21"/>
              </w:rPr>
              <w:t>Le scrivo in qualità di cittadino italiano profondamente allarmato dalle implicazioni derivanti dalla recente approvazione, durante la 77ª Assemblea dell'Organizzazione Mondiale della Sanità (OMS) del 1° giugno 2024, degli emendamenti al Regolamento Sanitario Internazionale (RSI).</w:t>
            </w:r>
          </w:p>
          <w:p>
            <w:pPr>
              <w:pStyle w:val="BodyText"/>
              <w:rPr>
                <w:rFonts w:ascii="Calibri" w:hAnsi="Calibri"/>
                <w:sz w:val="21"/>
                <w:szCs w:val="21"/>
              </w:rPr>
            </w:pPr>
            <w:r>
              <w:rPr>
                <w:sz w:val="21"/>
                <w:szCs w:val="21"/>
              </w:rPr>
              <w:t>Comprendo che l'Italia dispone di un termine ultimo, fissato al 19 luglio 2025, per esercitare la facoltà di "opting out" rispetto a tali modifiche normative. In mancanza di una formale notifica di reiezione entro tale data, questi emendamenti, che nutrono in me significative preoccupazioni in merito alla sovranità e alla sicurezza nazionale, specialmente in relazione alla potenziale liberalizzazione dei biolaboratori, diverrebbero pienamente efficaci anche nel nostro Paese.</w:t>
            </w:r>
          </w:p>
          <w:p>
            <w:pPr>
              <w:pStyle w:val="BodyText"/>
              <w:rPr>
                <w:rFonts w:ascii="Calibri" w:hAnsi="Calibri"/>
                <w:sz w:val="21"/>
                <w:szCs w:val="21"/>
              </w:rPr>
            </w:pPr>
            <w:r>
              <w:rPr>
                <w:sz w:val="21"/>
                <w:szCs w:val="21"/>
              </w:rPr>
              <w:t>Avendo attentamente esaminato il testo degli emendamenti in questione, desidero sottoporre alla Sua autorevole attenzione alcune criticità che ritengo meritevoli di seria considerazione:</w:t>
            </w:r>
          </w:p>
          <w:p>
            <w:pPr>
              <w:pStyle w:val="BodyText"/>
              <w:numPr>
                <w:ilvl w:val="0"/>
                <w:numId w:val="1"/>
              </w:numPr>
              <w:tabs>
                <w:tab w:val="clear" w:pos="708"/>
                <w:tab w:val="left" w:pos="0" w:leader="none"/>
              </w:tabs>
              <w:spacing w:before="0" w:after="0"/>
              <w:ind w:hanging="283" w:left="709"/>
              <w:rPr/>
            </w:pPr>
            <w:r>
              <w:rPr>
                <w:rStyle w:val="Strong"/>
                <w:sz w:val="21"/>
                <w:szCs w:val="21"/>
              </w:rPr>
              <w:t>Ambito di Attivazione del RSI:</w:t>
            </w:r>
            <w:r>
              <w:rPr>
                <w:sz w:val="21"/>
                <w:szCs w:val="21"/>
              </w:rPr>
              <w:t xml:space="preserve"> L'indeterminatezza dei criteri che potrebbero innescare l'applicazione del Regolamento Sanitario Internazionale solleva il timore di una sua possibile strumentalizzazione a fini politici o commerciali, innescata da eventi o pratiche suscettibili di essere interpretate come origine di una potenziale pandemia.</w:t>
            </w:r>
          </w:p>
          <w:p>
            <w:pPr>
              <w:pStyle w:val="BodyText"/>
              <w:numPr>
                <w:ilvl w:val="0"/>
                <w:numId w:val="1"/>
              </w:numPr>
              <w:tabs>
                <w:tab w:val="clear" w:pos="708"/>
                <w:tab w:val="left" w:pos="0" w:leader="none"/>
              </w:tabs>
              <w:spacing w:before="0" w:after="0"/>
              <w:ind w:hanging="283" w:left="709"/>
              <w:rPr/>
            </w:pPr>
            <w:r>
              <w:rPr>
                <w:rStyle w:val="Strong"/>
                <w:sz w:val="21"/>
                <w:szCs w:val="21"/>
              </w:rPr>
              <w:t>Definizione di Emergenza Pandemica:</w:t>
            </w:r>
            <w:r>
              <w:rPr>
                <w:sz w:val="21"/>
                <w:szCs w:val="21"/>
              </w:rPr>
              <w:t xml:space="preserve"> La formulazione imprecisa della definizione di "emergenza pandemica", in particolare l'utilizzo del termine "molti paesi" per qualificare l'espansione geografica di un evento sanitario (pagina 4 del documento), appare suscettibile di interpretazioni arbitrarie.</w:t>
            </w:r>
          </w:p>
          <w:p>
            <w:pPr>
              <w:pStyle w:val="BodyText"/>
              <w:numPr>
                <w:ilvl w:val="0"/>
                <w:numId w:val="1"/>
              </w:numPr>
              <w:tabs>
                <w:tab w:val="clear" w:pos="708"/>
                <w:tab w:val="left" w:pos="0" w:leader="none"/>
              </w:tabs>
              <w:spacing w:before="0" w:after="0"/>
              <w:ind w:hanging="283" w:left="709"/>
              <w:rPr/>
            </w:pPr>
            <w:r>
              <w:rPr>
                <w:rStyle w:val="Strong"/>
                <w:sz w:val="21"/>
                <w:szCs w:val="21"/>
              </w:rPr>
              <w:t>Libertà di Pensiero e Rischio di Censura:</w:t>
            </w:r>
            <w:r>
              <w:rPr>
                <w:sz w:val="21"/>
                <w:szCs w:val="21"/>
              </w:rPr>
              <w:t xml:space="preserve"> L'Allegato 1 (pagina 44 del documento) del RSI, concernente la "gestione della disinformazione", desta preoccupazioni in relazione alla potenziale limitazione della libertà di pensiero, con la possibile istituzionalizzazione di una "verità ufficiale" definita dall'OMS.</w:t>
            </w:r>
          </w:p>
          <w:p>
            <w:pPr>
              <w:pStyle w:val="BodyText"/>
              <w:numPr>
                <w:ilvl w:val="0"/>
                <w:numId w:val="1"/>
              </w:numPr>
              <w:tabs>
                <w:tab w:val="clear" w:pos="708"/>
                <w:tab w:val="left" w:pos="0" w:leader="none"/>
              </w:tabs>
              <w:spacing w:before="0" w:after="0"/>
              <w:ind w:hanging="283" w:left="709"/>
              <w:rPr/>
            </w:pPr>
            <w:r>
              <w:rPr>
                <w:rStyle w:val="Strong"/>
                <w:sz w:val="21"/>
                <w:szCs w:val="21"/>
              </w:rPr>
              <w:t>Trasparenza Processuale:</w:t>
            </w:r>
            <w:r>
              <w:rPr>
                <w:sz w:val="21"/>
                <w:szCs w:val="21"/>
              </w:rPr>
              <w:t xml:space="preserve"> L'articolo 43.7 (pagina 29 del documento), prevedendo consultazioni riservate tra gli Stati membri, potrebbe compromettere la piena trasparenza e la conseguente valutazione informata delle decisioni in materia di salute pubblica.</w:t>
            </w:r>
          </w:p>
          <w:p>
            <w:pPr>
              <w:pStyle w:val="BodyText"/>
              <w:numPr>
                <w:ilvl w:val="0"/>
                <w:numId w:val="1"/>
              </w:numPr>
              <w:tabs>
                <w:tab w:val="clear" w:pos="708"/>
                <w:tab w:val="left" w:pos="0" w:leader="none"/>
              </w:tabs>
              <w:ind w:hanging="283" w:left="709"/>
              <w:rPr/>
            </w:pPr>
            <w:r>
              <w:rPr>
                <w:rStyle w:val="Strong"/>
                <w:sz w:val="21"/>
                <w:szCs w:val="21"/>
              </w:rPr>
              <w:t>Promozione dei Biolaboratori:</w:t>
            </w:r>
            <w:r>
              <w:rPr>
                <w:sz w:val="21"/>
                <w:szCs w:val="21"/>
              </w:rPr>
              <w:t xml:space="preserve"> L'articolo 13.8, lettera e (pagina 13), unitamente alla definizione di "prodotti sanitari rilevanti" (pagina 5), suggerisce una promozione da parte dell'OMS della produzione locale di vaccini e terapie geniche, fattore che, a mio avviso, potrebbe incrementare il rischio di fuoriuscita di agenti patogeni pericolosi e di atti di bioterrorismo.</w:t>
            </w:r>
          </w:p>
          <w:p>
            <w:pPr>
              <w:pStyle w:val="BodyText"/>
              <w:rPr>
                <w:rFonts w:ascii="Calibri" w:hAnsi="Calibri"/>
                <w:b/>
                <w:bCs/>
                <w:sz w:val="21"/>
                <w:szCs w:val="21"/>
              </w:rPr>
            </w:pPr>
            <w:r>
              <w:rPr>
                <w:b/>
                <w:bCs/>
                <w:sz w:val="21"/>
                <w:szCs w:val="21"/>
              </w:rPr>
              <w:t>In quanto cittadino italiano, desidero esprimere la mia convinta opposizione a tali emendamenti e sollecitare un Suo tempestivo intervento affinché l'Italia eserciti formalmente l'opzione di "opting out" entro il termine del 19 luglio 2025.</w:t>
            </w:r>
          </w:p>
          <w:p>
            <w:pPr>
              <w:pStyle w:val="BodyText"/>
              <w:rPr>
                <w:rFonts w:ascii="Calibri" w:hAnsi="Calibri"/>
                <w:sz w:val="21"/>
                <w:szCs w:val="21"/>
              </w:rPr>
            </w:pPr>
            <w:r>
              <w:rPr>
                <w:sz w:val="21"/>
                <w:szCs w:val="21"/>
              </w:rPr>
              <w:t>Ritengo altresì doveroso segnalare l'esistenza di petizioni presentate al Parlamento, espressione della volontà popolare di respingere gli emendamenti al RSI. Tali iniziative hanno già raccolto un significativo numero di adesioni, testimoniando una diffusa preoccupazione tra la cittadinanza.</w:t>
            </w:r>
          </w:p>
          <w:p>
            <w:pPr>
              <w:pStyle w:val="BodyText"/>
              <w:rPr>
                <w:rFonts w:ascii="Calibri" w:hAnsi="Calibri"/>
                <w:sz w:val="21"/>
                <w:szCs w:val="21"/>
              </w:rPr>
            </w:pPr>
            <w:r>
              <w:rPr>
                <w:sz w:val="21"/>
                <w:szCs w:val="21"/>
              </w:rPr>
              <w:t>Confidando nella Sua sensibilità istituzionale e nel Suo ruolo di rappresentante della Nazione, Le porgo i miei più rispettosi saluti.</w:t>
            </w:r>
          </w:p>
          <w:p>
            <w:pPr>
              <w:pStyle w:val="BodyText"/>
              <w:rPr>
                <w:rFonts w:ascii="Calibri" w:hAnsi="Calibri"/>
                <w:sz w:val="21"/>
                <w:szCs w:val="21"/>
              </w:rPr>
            </w:pPr>
            <w:r>
              <w:rPr>
                <w:sz w:val="21"/>
                <w:szCs w:val="21"/>
              </w:rPr>
              <w:t>Un cittadino italiano preoccupato.</w:t>
            </w:r>
          </w:p>
          <w:p>
            <w:pPr>
              <w:pStyle w:val="Normal"/>
              <w:spacing w:lineRule="atLeast" w:line="255" w:beforeAutospacing="1" w:afterAutospacing="1"/>
              <w:jc w:val="both"/>
              <w:rPr>
                <w:rFonts w:ascii="Calibri" w:hAnsi="Calibri"/>
                <w:sz w:val="21"/>
                <w:szCs w:val="21"/>
              </w:rPr>
            </w:pPr>
            <w:r>
              <w:rPr>
                <w:rFonts w:eastAsia="Times New Roman" w:cs="Times New Roman"/>
                <w:b/>
                <w:sz w:val="21"/>
                <w:szCs w:val="21"/>
                <w:shd w:fill="FFFF00" w:val="clear"/>
                <w:lang w:eastAsia="it-IT"/>
              </w:rPr>
              <w:t>Luogo, data,</w:t>
            </w:r>
          </w:p>
          <w:p>
            <w:pPr>
              <w:pStyle w:val="Normal"/>
              <w:spacing w:lineRule="atLeast" w:line="255" w:beforeAutospacing="1" w:afterAutospacing="1"/>
              <w:jc w:val="both"/>
              <w:rPr>
                <w:rFonts w:ascii="Calibri" w:hAnsi="Calibri" w:eastAsia="Times New Roman" w:cs="Times New Roman"/>
                <w:b/>
                <w:sz w:val="21"/>
                <w:szCs w:val="21"/>
                <w:highlight w:val="none"/>
                <w:shd w:fill="FFFF00" w:val="clear"/>
                <w:lang w:eastAsia="it-IT"/>
              </w:rPr>
            </w:pPr>
            <w:r>
              <w:rPr>
                <w:rFonts w:eastAsia="Times New Roman" w:cs="Times New Roman"/>
                <w:b/>
                <w:sz w:val="21"/>
                <w:szCs w:val="21"/>
                <w:shd w:fill="FFFF00" w:val="clear"/>
                <w:lang w:eastAsia="it-IT"/>
              </w:rPr>
            </w:r>
          </w:p>
          <w:p>
            <w:pPr>
              <w:pStyle w:val="Normal"/>
              <w:spacing w:lineRule="atLeast" w:line="255" w:beforeAutospacing="1" w:after="0"/>
              <w:jc w:val="both"/>
              <w:rPr>
                <w:rFonts w:ascii="Calibri" w:hAnsi="Calibri"/>
                <w:sz w:val="21"/>
                <w:szCs w:val="21"/>
              </w:rPr>
            </w:pPr>
            <w:r>
              <w:rPr>
                <w:rFonts w:eastAsia="Times New Roman" w:cs="Times New Roman"/>
                <w:b/>
                <w:sz w:val="21"/>
                <w:szCs w:val="21"/>
                <w:shd w:fill="FFFF00" w:val="clear"/>
                <w:lang w:eastAsia="it-IT"/>
              </w:rPr>
              <w:t>firma</w:t>
            </w:r>
          </w:p>
        </w:tc>
        <w:tc>
          <w:tcPr>
            <w:tcW w:w="5386" w:type="dxa"/>
            <w:tcBorders>
              <w:top w:val="single" w:sz="4" w:space="0" w:color="000000"/>
              <w:left w:val="single" w:sz="4" w:space="0" w:color="000000"/>
              <w:bottom w:val="single" w:sz="4" w:space="0" w:color="000000"/>
              <w:right w:val="single" w:sz="4" w:space="0" w:color="000000"/>
            </w:tcBorders>
          </w:tcPr>
          <w:p>
            <w:pPr>
              <w:pStyle w:val="BodyText"/>
              <w:spacing w:lineRule="auto" w:line="240"/>
              <w:rPr>
                <w:sz w:val="20"/>
                <w:szCs w:val="20"/>
                <w:lang w:val="de-DE" w:eastAsia="en-US" w:bidi="ar-SA"/>
              </w:rPr>
            </w:pPr>
            <w:r>
              <w:rPr>
                <w:sz w:val="20"/>
                <w:szCs w:val="20"/>
                <w:lang w:val="de-DE" w:eastAsia="en-US" w:bidi="ar-SA"/>
              </w:rPr>
              <w:t>Absender:</w:t>
            </w:r>
          </w:p>
          <w:p>
            <w:pPr>
              <w:pStyle w:val="BodyText"/>
              <w:spacing w:lineRule="auto" w:line="240"/>
              <w:rPr>
                <w:rFonts w:ascii="Calibri" w:hAnsi="Calibri" w:eastAsia="Calibri" w:cs="" w:asciiTheme="minorHAnsi" w:cstheme="minorBidi" w:eastAsiaTheme="minorHAnsi" w:hAnsiTheme="minorHAnsi"/>
                <w:sz w:val="20"/>
                <w:szCs w:val="20"/>
                <w:highlight w:val="none"/>
                <w:shd w:fill="FFFF00" w:val="clear"/>
                <w:lang w:val="de-DE" w:eastAsia="en-US" w:bidi="ar-SA"/>
              </w:rPr>
            </w:pPr>
            <w:r>
              <w:rPr>
                <w:rFonts w:eastAsia="Calibri" w:cs="" w:cstheme="minorBidi" w:eastAsiaTheme="minorHAnsi"/>
                <w:sz w:val="20"/>
                <w:szCs w:val="20"/>
                <w:shd w:fill="FFFF00" w:val="clear"/>
                <w:lang w:val="de-DE" w:eastAsia="en-US" w:bidi="ar-SA"/>
              </w:rPr>
              <w:t>Name, Nachname</w:t>
              <w:br/>
              <w:t>Adresse</w:t>
            </w:r>
          </w:p>
          <w:p>
            <w:pPr>
              <w:pStyle w:val="BodyText"/>
              <w:spacing w:lineRule="auto" w:line="240"/>
              <w:rPr>
                <w:sz w:val="20"/>
                <w:szCs w:val="20"/>
                <w:lang w:val="de-DE" w:eastAsia="en-US" w:bidi="ar-SA"/>
              </w:rPr>
            </w:pPr>
            <w:r>
              <w:rPr>
                <w:sz w:val="20"/>
                <w:szCs w:val="20"/>
                <w:lang w:val="de-DE" w:eastAsia="en-US" w:bidi="ar-SA"/>
              </w:rPr>
              <w:t>...............................................</w:t>
            </w:r>
          </w:p>
          <w:p>
            <w:pPr>
              <w:pStyle w:val="BodyText"/>
              <w:jc w:val="right"/>
              <w:rPr>
                <w:sz w:val="20"/>
                <w:szCs w:val="20"/>
                <w:lang w:val="de-DE" w:eastAsia="en-US" w:bidi="ar-SA"/>
              </w:rPr>
            </w:pPr>
            <w:r>
              <w:rPr>
                <w:sz w:val="20"/>
                <w:szCs w:val="20"/>
                <w:lang w:val="de-DE" w:eastAsia="en-US" w:bidi="ar-SA"/>
              </w:rPr>
              <w:t>An den Herrn Abgeordneten/Senator</w:t>
            </w:r>
          </w:p>
          <w:p>
            <w:pPr>
              <w:pStyle w:val="BodyText"/>
              <w:jc w:val="right"/>
              <w:rPr>
                <w:rFonts w:ascii="Calibri" w:hAnsi="Calibri" w:eastAsia="Calibri" w:cs="" w:asciiTheme="minorHAnsi" w:cstheme="minorBidi" w:eastAsiaTheme="minorHAnsi" w:hAnsiTheme="minorHAnsi"/>
                <w:sz w:val="20"/>
                <w:szCs w:val="20"/>
                <w:highlight w:val="none"/>
                <w:shd w:fill="FFFF00" w:val="clear"/>
                <w:lang w:val="de-DE" w:eastAsia="en-US" w:bidi="ar-SA"/>
              </w:rPr>
            </w:pPr>
            <w:r>
              <w:rPr>
                <w:rFonts w:eastAsia="Calibri" w:cs="" w:cstheme="minorBidi" w:eastAsiaTheme="minorHAnsi"/>
                <w:sz w:val="20"/>
                <w:szCs w:val="20"/>
                <w:shd w:fill="FFFF00" w:val="clear"/>
                <w:lang w:val="de-DE" w:eastAsia="en-US" w:bidi="ar-SA"/>
              </w:rPr>
              <w:t>xy</w:t>
            </w:r>
          </w:p>
          <w:p>
            <w:pPr>
              <w:pStyle w:val="BodyText"/>
              <w:rPr>
                <w:b/>
                <w:sz w:val="20"/>
                <w:szCs w:val="20"/>
                <w:lang w:val="de-DE" w:eastAsia="en-US" w:bidi="ar-SA"/>
              </w:rPr>
            </w:pPr>
            <w:r>
              <w:rPr>
                <w:b/>
                <w:sz w:val="20"/>
                <w:szCs w:val="20"/>
                <w:lang w:val="de-DE" w:eastAsia="en-US" w:bidi="ar-SA"/>
              </w:rPr>
              <w:t xml:space="preserve">Betreff: Antrag auf Intervention bei unserer Regierung </w:t>
            </w:r>
            <w:r>
              <w:rPr>
                <w:b/>
                <w:sz w:val="20"/>
                <w:szCs w:val="20"/>
                <w:lang w:val="de-DE" w:eastAsia="en-US" w:bidi="ar-SA"/>
              </w:rPr>
              <w:t>und dem Parlament</w:t>
            </w:r>
            <w:r>
              <w:rPr>
                <w:b/>
                <w:sz w:val="20"/>
                <w:szCs w:val="20"/>
                <w:lang w:val="de-DE" w:eastAsia="en-US" w:bidi="ar-SA"/>
              </w:rPr>
              <w:t>, damit diese die Änderungen der Internationalen Gesundheitsvorschriften (IHR), die während der 77. WHO-Versammlung am 1. Juni 2024 verabschiedet wurden, ablehn</w:t>
            </w:r>
            <w:r>
              <w:rPr>
                <w:b/>
                <w:sz w:val="20"/>
                <w:szCs w:val="20"/>
                <w:lang w:val="de-DE" w:eastAsia="en-US" w:bidi="ar-SA"/>
              </w:rPr>
              <w:t>en</w:t>
            </w:r>
            <w:r>
              <w:rPr>
                <w:b/>
                <w:sz w:val="20"/>
                <w:szCs w:val="20"/>
                <w:lang w:val="de-DE" w:eastAsia="en-US" w:bidi="ar-SA"/>
              </w:rPr>
              <w:t>.</w:t>
            </w:r>
          </w:p>
          <w:p>
            <w:pPr>
              <w:pStyle w:val="BodyText"/>
              <w:rPr>
                <w:sz w:val="20"/>
                <w:szCs w:val="20"/>
                <w:lang w:val="de-DE" w:eastAsia="en-US" w:bidi="ar-SA"/>
              </w:rPr>
            </w:pPr>
            <w:r>
              <w:rPr>
                <w:sz w:val="20"/>
                <w:szCs w:val="20"/>
                <w:lang w:val="de-DE" w:eastAsia="en-US" w:bidi="ar-SA"/>
              </w:rPr>
            </w:r>
          </w:p>
          <w:p>
            <w:pPr>
              <w:pStyle w:val="BodyText"/>
              <w:rPr>
                <w:sz w:val="20"/>
                <w:szCs w:val="20"/>
                <w:lang w:val="de-DE" w:eastAsia="en-US" w:bidi="ar-SA"/>
              </w:rPr>
            </w:pPr>
            <w:r>
              <w:rPr>
                <w:sz w:val="20"/>
                <w:szCs w:val="20"/>
                <w:lang w:val="de-DE" w:eastAsia="en-US" w:bidi="ar-SA"/>
              </w:rPr>
              <w:t>Sehr geehrter Herr Abgeordneter,</w:t>
            </w:r>
          </w:p>
          <w:p>
            <w:pPr>
              <w:pStyle w:val="BodyText"/>
              <w:rPr>
                <w:sz w:val="20"/>
                <w:szCs w:val="20"/>
                <w:lang w:val="de-DE" w:eastAsia="en-US" w:bidi="ar-SA"/>
              </w:rPr>
            </w:pPr>
            <w:r>
              <w:rPr>
                <w:sz w:val="20"/>
                <w:szCs w:val="20"/>
                <w:lang w:val="de-DE" w:eastAsia="en-US" w:bidi="ar-SA"/>
              </w:rPr>
              <w:t>ich schreibe Ihnen als italienischer Staatsbürger, der zutiefst beunruhigt ist über die Auswirkungen der kürzlich während der 77. Versammlung der Weltgesundheitsorganisation (WHO) am 1. Juni 2024 verabschiedeten Änderungen der Internationalen Gesundheitsvorschriften (IHR).</w:t>
            </w:r>
          </w:p>
          <w:p>
            <w:pPr>
              <w:pStyle w:val="BodyText"/>
              <w:rPr>
                <w:sz w:val="20"/>
                <w:szCs w:val="20"/>
                <w:lang w:val="de-DE" w:eastAsia="en-US" w:bidi="ar-SA"/>
              </w:rPr>
            </w:pPr>
            <w:r>
              <w:rPr>
                <w:sz w:val="20"/>
                <w:szCs w:val="20"/>
                <w:lang w:val="de-DE" w:eastAsia="en-US" w:bidi="ar-SA"/>
              </w:rPr>
              <w:t>Ich habe verstanden, dass Italien bis zum 19. Juli 2025 Zeit hat, um von seinem Recht auf „Opting-out“ hinsichtlich dieser Gesetzesänderungen Gebrauch zu machen. Ohne eine formelle Ablehnungserklärung bis zu diesem Datum würden diese Änderungen, die mir erhebliche Sorgen hinsichtlich der Souveränität und nationalen Sicherheit bereiten - insbesondere im Zusammenhang mit der potenziellen Liberalisierung von Biolaboren, auch in unserem Land in vollem Umfang in Kraft treten.</w:t>
            </w:r>
          </w:p>
          <w:p>
            <w:pPr>
              <w:pStyle w:val="BodyText"/>
              <w:rPr>
                <w:sz w:val="20"/>
                <w:szCs w:val="20"/>
                <w:lang w:val="de-DE" w:eastAsia="en-US" w:bidi="ar-SA"/>
              </w:rPr>
            </w:pPr>
            <w:r>
              <w:rPr>
                <w:sz w:val="20"/>
                <w:szCs w:val="20"/>
                <w:lang w:val="de-DE" w:eastAsia="en-US" w:bidi="ar-SA"/>
              </w:rPr>
              <w:t>Nach sorgfältiger Prüfung des Wortlauts der betreffenden Änderungen möchte ich Sie auf einige kritische Punkte aufmerksam machen, die meiner Meinung nach ernsthaft berücksichtigt werden sollten:</w:t>
            </w:r>
          </w:p>
          <w:p>
            <w:pPr>
              <w:pStyle w:val="BodyText"/>
              <w:numPr>
                <w:ilvl w:val="0"/>
                <w:numId w:val="2"/>
              </w:numPr>
              <w:tabs>
                <w:tab w:val="clear" w:pos="708"/>
                <w:tab w:val="left" w:pos="0" w:leader="none"/>
              </w:tabs>
              <w:spacing w:before="0" w:after="0"/>
              <w:ind w:hanging="283" w:left="709"/>
              <w:rPr>
                <w:sz w:val="20"/>
                <w:szCs w:val="20"/>
                <w:lang w:val="de-DE" w:eastAsia="en-US" w:bidi="ar-SA"/>
              </w:rPr>
            </w:pPr>
            <w:r>
              <w:rPr>
                <w:b/>
                <w:sz w:val="20"/>
                <w:szCs w:val="20"/>
                <w:lang w:val="de-DE" w:eastAsia="en-US" w:bidi="ar-SA"/>
              </w:rPr>
              <w:t>Anwendungsbereich der IHR:</w:t>
            </w:r>
            <w:r>
              <w:rPr>
                <w:sz w:val="20"/>
                <w:szCs w:val="20"/>
                <w:lang w:val="de-DE" w:eastAsia="en-US" w:bidi="ar-SA"/>
              </w:rPr>
              <w:t xml:space="preserve"> Die Unbestimmtheit der Kriterien, die die Anwendung der Internationalen Gesundheitsvorschriften auslösen könnten, lässt die Befürchtung aufkommen, dass diese Vorschriften für politische oder kommerzielle Zwecke instrumentalisiert werden könnten, ausgelöst durch Ereignisse oder Praktiken, die als Auslöser einer potenziellen Pandemie interpretiert werden könnten.</w:t>
            </w:r>
          </w:p>
          <w:p>
            <w:pPr>
              <w:pStyle w:val="BodyText"/>
              <w:numPr>
                <w:ilvl w:val="0"/>
                <w:numId w:val="2"/>
              </w:numPr>
              <w:tabs>
                <w:tab w:val="clear" w:pos="708"/>
                <w:tab w:val="left" w:pos="0" w:leader="none"/>
              </w:tabs>
              <w:spacing w:before="0" w:after="0"/>
              <w:ind w:hanging="283" w:left="709"/>
              <w:rPr>
                <w:sz w:val="20"/>
                <w:szCs w:val="20"/>
                <w:lang w:val="de-DE" w:eastAsia="en-US" w:bidi="ar-SA"/>
              </w:rPr>
            </w:pPr>
            <w:r>
              <w:rPr>
                <w:b/>
                <w:sz w:val="20"/>
                <w:szCs w:val="20"/>
                <w:lang w:val="de-DE" w:eastAsia="en-US" w:bidi="ar-SA"/>
              </w:rPr>
              <w:t>Definition des Begriffs „Pandemie-Notfall“:</w:t>
            </w:r>
            <w:r>
              <w:rPr>
                <w:sz w:val="20"/>
                <w:szCs w:val="20"/>
                <w:lang w:val="de-DE" w:eastAsia="en-US" w:bidi="ar-SA"/>
              </w:rPr>
              <w:t xml:space="preserve"> Die ungenaue Formulierung der Definition des Begriffs „Pandemie-Notfall“, insbesondere die Verwendung des Begriffs „viele Länder“ zur Beschreibung der geografischen Ausbreitung eines Gesundheitsereignisses (Seite 4 des Dokuments), ermöglicht willkürliche Interpretationen.</w:t>
            </w:r>
          </w:p>
          <w:p>
            <w:pPr>
              <w:pStyle w:val="BodyText"/>
              <w:numPr>
                <w:ilvl w:val="0"/>
                <w:numId w:val="2"/>
              </w:numPr>
              <w:tabs>
                <w:tab w:val="clear" w:pos="708"/>
                <w:tab w:val="left" w:pos="0" w:leader="none"/>
              </w:tabs>
              <w:spacing w:before="0" w:after="0"/>
              <w:ind w:hanging="283" w:left="709"/>
              <w:rPr>
                <w:sz w:val="20"/>
                <w:szCs w:val="20"/>
                <w:lang w:val="de-DE" w:eastAsia="en-US" w:bidi="ar-SA"/>
              </w:rPr>
            </w:pPr>
            <w:r>
              <w:rPr>
                <w:b/>
                <w:sz w:val="20"/>
                <w:szCs w:val="20"/>
                <w:lang w:val="de-DE" w:eastAsia="en-US" w:bidi="ar-SA"/>
              </w:rPr>
              <w:t>Gedanken- und Meinungsfreiheit, und Gefahr der Zensur:</w:t>
            </w:r>
            <w:r>
              <w:rPr>
                <w:sz w:val="20"/>
                <w:szCs w:val="20"/>
                <w:lang w:val="de-DE" w:eastAsia="en-US" w:bidi="ar-SA"/>
              </w:rPr>
              <w:t xml:space="preserve"> Anhang 1 (Seite 44 des Dokuments) der IHR, der sich mit dem „Umgang mit Desinformation“ befasst, gibt Anlass zu Bedenken hinsichtlich einer möglichen Einschränkung der Gedanken- und Meinungsfreiheit durch die mögliche Institutionalisierung einer von der WHO definierten „offiziellen Wahrheit“.</w:t>
            </w:r>
          </w:p>
          <w:p>
            <w:pPr>
              <w:pStyle w:val="BodyText"/>
              <w:numPr>
                <w:ilvl w:val="0"/>
                <w:numId w:val="2"/>
              </w:numPr>
              <w:tabs>
                <w:tab w:val="clear" w:pos="708"/>
                <w:tab w:val="left" w:pos="0" w:leader="none"/>
              </w:tabs>
              <w:spacing w:before="0" w:after="0"/>
              <w:ind w:hanging="283" w:left="709"/>
              <w:rPr>
                <w:sz w:val="20"/>
                <w:szCs w:val="20"/>
                <w:lang w:val="de-DE" w:eastAsia="en-US" w:bidi="ar-SA"/>
              </w:rPr>
            </w:pPr>
            <w:r>
              <w:rPr>
                <w:b/>
                <w:sz w:val="20"/>
                <w:szCs w:val="20"/>
                <w:lang w:val="de-DE" w:eastAsia="en-US" w:bidi="ar-SA"/>
              </w:rPr>
              <w:t>Transparenz des Verfahrens:</w:t>
            </w:r>
            <w:r>
              <w:rPr>
                <w:sz w:val="20"/>
                <w:szCs w:val="20"/>
                <w:lang w:val="de-DE" w:eastAsia="en-US" w:bidi="ar-SA"/>
              </w:rPr>
              <w:t xml:space="preserve"> Artikel 43.7 (Seite 29 des Dokuments), der vertrauliche Konsultationen zwischen den Mitgliedstaaten vorsieht, könnte die vollständige Transparenz und die daraus resultierende fundierte Bewertung von Entscheidungen im Bereich der öffentlichen Gesundheit beeinträchtigen.</w:t>
            </w:r>
          </w:p>
          <w:p>
            <w:pPr>
              <w:pStyle w:val="BodyText"/>
              <w:numPr>
                <w:ilvl w:val="0"/>
                <w:numId w:val="2"/>
              </w:numPr>
              <w:tabs>
                <w:tab w:val="clear" w:pos="708"/>
                <w:tab w:val="left" w:pos="0" w:leader="none"/>
              </w:tabs>
              <w:ind w:hanging="283" w:left="709"/>
              <w:rPr>
                <w:sz w:val="20"/>
                <w:szCs w:val="20"/>
                <w:lang w:val="de-DE" w:eastAsia="en-US" w:bidi="ar-SA"/>
              </w:rPr>
            </w:pPr>
            <w:r>
              <w:rPr>
                <w:b/>
                <w:sz w:val="20"/>
                <w:szCs w:val="20"/>
                <w:lang w:val="de-DE" w:eastAsia="en-US" w:bidi="ar-SA"/>
              </w:rPr>
              <w:t>Förderung von Biowissenschaften:</w:t>
            </w:r>
            <w:r>
              <w:rPr>
                <w:sz w:val="20"/>
                <w:szCs w:val="20"/>
                <w:lang w:val="de-DE" w:eastAsia="en-US" w:bidi="ar-SA"/>
              </w:rPr>
              <w:t xml:space="preserve"> Artikel 13.8 Buchstabe e (Seite 13) in Verbindung mit der Definition von „relevanten Gesundheitsprodukten“ (Seite 5) eine Förderung der lokalen Produktion von Impfstoffen und Gentherapien durch die WHO, was meiner Meinung nach das Risiko des Austritts gefährlicher Krankheitserreger und von Bioterrorismus erhöhen könnte.</w:t>
            </w:r>
          </w:p>
          <w:p>
            <w:pPr>
              <w:pStyle w:val="BodyText"/>
              <w:rPr>
                <w:b/>
                <w:sz w:val="20"/>
                <w:szCs w:val="20"/>
                <w:lang w:val="de-DE" w:eastAsia="en-US" w:bidi="ar-SA"/>
              </w:rPr>
            </w:pPr>
            <w:r>
              <w:rPr>
                <w:b/>
                <w:sz w:val="20"/>
                <w:szCs w:val="20"/>
                <w:lang w:val="de-DE" w:eastAsia="en-US" w:bidi="ar-SA"/>
              </w:rPr>
              <w:t>Als italienischer Staatsbürger möchte ich meine entschiedene Ablehnung dieser Änderungen zum Ausdruck bringen und Sie um Ihr rasches Eingreifen bitten, damit Italien bis zum 19. Juli 2025 offiziell von der „Opting-out“-Option Gebrauch macht.</w:t>
            </w:r>
          </w:p>
          <w:p>
            <w:pPr>
              <w:pStyle w:val="BodyText"/>
              <w:rPr>
                <w:sz w:val="20"/>
                <w:szCs w:val="20"/>
                <w:lang w:val="de-DE" w:eastAsia="en-US" w:bidi="ar-SA"/>
              </w:rPr>
            </w:pPr>
            <w:r>
              <w:rPr>
                <w:sz w:val="20"/>
                <w:szCs w:val="20"/>
                <w:lang w:val="de-DE" w:eastAsia="en-US" w:bidi="ar-SA"/>
              </w:rPr>
              <w:t>Ich halte es außerdem für meine Pflicht, auf die beim Parlament eingereichten Petitionen hinzuweisen, die den Willen der Bevölkerung zum Ausdruck bringen, die Änderungen der IHR abzulehnen. Diese Initiativen haben bereits eine beträchtliche Anzahl von Unterschriften gesammelt, was von einer weit verbreiteten Besorgnis unter den Bürgern zeugt.</w:t>
            </w:r>
          </w:p>
          <w:p>
            <w:pPr>
              <w:pStyle w:val="BodyText"/>
              <w:rPr>
                <w:sz w:val="20"/>
                <w:szCs w:val="20"/>
                <w:lang w:val="de-DE" w:eastAsia="en-US" w:bidi="ar-SA"/>
              </w:rPr>
            </w:pPr>
            <w:r>
              <w:rPr>
                <w:sz w:val="20"/>
                <w:szCs w:val="20"/>
                <w:lang w:val="de-DE" w:eastAsia="en-US" w:bidi="ar-SA"/>
              </w:rPr>
              <w:t>Im Vertrauen auf Ihre institutionelle Sensibilität und Ihre Rolle als Vertreter der Nation verbleibe ich mit freundlichen Grüßen.</w:t>
            </w:r>
          </w:p>
          <w:p>
            <w:pPr>
              <w:pStyle w:val="BodyText"/>
              <w:rPr>
                <w:sz w:val="20"/>
                <w:szCs w:val="20"/>
                <w:lang w:val="de-DE" w:eastAsia="en-US" w:bidi="ar-SA"/>
              </w:rPr>
            </w:pPr>
            <w:r>
              <w:rPr>
                <w:sz w:val="20"/>
                <w:szCs w:val="20"/>
                <w:lang w:val="de-DE" w:eastAsia="en-US" w:bidi="ar-SA"/>
              </w:rPr>
              <w:t>Ein besorgter italienischer Staatsbürger.</w:t>
            </w:r>
          </w:p>
          <w:p>
            <w:pPr>
              <w:pStyle w:val="BodyText"/>
              <w:rPr>
                <w:rFonts w:ascii="Calibri" w:hAnsi="Calibri" w:eastAsia="Calibri" w:cs="" w:asciiTheme="minorHAnsi" w:cstheme="minorBidi" w:eastAsiaTheme="minorHAnsi" w:hAnsiTheme="minorHAnsi"/>
                <w:b/>
                <w:sz w:val="20"/>
                <w:szCs w:val="20"/>
                <w:highlight w:val="none"/>
                <w:shd w:fill="FFFF00" w:val="clear"/>
                <w:lang w:val="de-DE" w:eastAsia="en-US" w:bidi="ar-SA"/>
              </w:rPr>
            </w:pPr>
            <w:r>
              <w:rPr>
                <w:rFonts w:eastAsia="Calibri" w:cs="" w:cstheme="minorBidi" w:eastAsiaTheme="minorHAnsi"/>
                <w:b/>
                <w:sz w:val="20"/>
                <w:szCs w:val="20"/>
                <w:shd w:fill="FFFF00" w:val="clear"/>
                <w:lang w:val="de-DE" w:eastAsia="en-US" w:bidi="ar-SA"/>
              </w:rPr>
              <w:t>Ort, Datum,</w:t>
            </w:r>
          </w:p>
          <w:p>
            <w:pPr>
              <w:pStyle w:val="BodyText"/>
              <w:rPr>
                <w:sz w:val="20"/>
                <w:szCs w:val="20"/>
                <w:lang w:val="de-DE" w:eastAsia="en-US" w:bidi="ar-SA"/>
              </w:rPr>
            </w:pPr>
            <w:r>
              <w:rPr>
                <w:sz w:val="20"/>
                <w:szCs w:val="20"/>
                <w:lang w:val="de-DE" w:eastAsia="en-US" w:bidi="ar-SA"/>
              </w:rPr>
            </w:r>
          </w:p>
          <w:p>
            <w:pPr>
              <w:pStyle w:val="BodyText"/>
              <w:rPr>
                <w:rFonts w:ascii="Calibri" w:hAnsi="Calibri" w:eastAsia="Calibri" w:cs="" w:asciiTheme="minorHAnsi" w:cstheme="minorBidi" w:eastAsiaTheme="minorHAnsi" w:hAnsiTheme="minorHAnsi"/>
                <w:b/>
                <w:sz w:val="20"/>
                <w:szCs w:val="20"/>
                <w:highlight w:val="none"/>
                <w:shd w:fill="FFFF00" w:val="clear"/>
                <w:lang w:val="de-DE" w:eastAsia="en-US" w:bidi="ar-SA"/>
              </w:rPr>
            </w:pPr>
            <w:r>
              <w:rPr>
                <w:rFonts w:eastAsia="Calibri" w:cs="" w:cstheme="minorBidi" w:eastAsiaTheme="minorHAnsi"/>
                <w:b/>
                <w:sz w:val="20"/>
                <w:szCs w:val="20"/>
                <w:shd w:fill="FFFF00" w:val="clear"/>
                <w:lang w:val="de-DE" w:eastAsia="en-US" w:bidi="ar-SA"/>
              </w:rPr>
              <w:t>Unterschrift</w:t>
            </w:r>
          </w:p>
          <w:p>
            <w:pPr>
              <w:pStyle w:val="Tabelleninhaltuser"/>
              <w:spacing w:before="0" w:after="160"/>
              <w:rPr>
                <w:sz w:val="20"/>
                <w:szCs w:val="20"/>
                <w:lang w:val="de-DE" w:eastAsia="en-US" w:bidi="ar-SA"/>
              </w:rPr>
            </w:pPr>
            <w:r>
              <w:rPr>
                <w:sz w:val="20"/>
                <w:szCs w:val="20"/>
                <w:lang w:val="de-DE" w:eastAsia="en-US" w:bidi="ar-SA"/>
              </w:rPr>
            </w:r>
          </w:p>
        </w:tc>
      </w:tr>
    </w:tbl>
    <w:p>
      <w:pPr>
        <w:pStyle w:val="Normal"/>
        <w:bidi w:val="0"/>
        <w:jc w:val="left"/>
        <w:rPr>
          <w:rFonts w:cs="Calibri" w:cstheme="minorHAnsi"/>
        </w:rPr>
      </w:pPr>
      <w:r>
        <w:rPr>
          <w:rFonts w:cs="Calibri" w:cstheme="minorHAnsi"/>
        </w:rPr>
      </w:r>
    </w:p>
    <w:p>
      <w:pPr>
        <w:pStyle w:val="Normal"/>
        <w:bidi w:val="0"/>
        <w:jc w:val="left"/>
        <w:rPr>
          <w:rFonts w:eastAsia="Times New Roman" w:cs="Times New Roman"/>
          <w:b/>
          <w:shd w:fill="FFFF00" w:val="clear"/>
          <w:lang w:eastAsia="it-IT"/>
        </w:rPr>
      </w:pPr>
      <w:r>
        <w:rPr>
          <w:rFonts w:eastAsia="Times New Roman" w:cs="Times New Roman"/>
          <w:b/>
          <w:shd w:fill="FFFF00" w:val="clear"/>
          <w:lang w:eastAsia="it-IT"/>
        </w:rPr>
      </w:r>
    </w:p>
    <w:p>
      <w:pPr>
        <w:pStyle w:val="Normal"/>
        <w:spacing w:lineRule="atLeast" w:line="255" w:beforeAutospacing="1" w:afterAutospacing="1"/>
        <w:jc w:val="both"/>
        <w:rPr>
          <w:rFonts w:ascii="Calibri" w:hAnsi="Calibri" w:eastAsia="Times New Roman" w:cs="Times New Roman"/>
          <w:b/>
          <w:sz w:val="21"/>
          <w:szCs w:val="21"/>
          <w:lang w:eastAsia="it-IT"/>
        </w:rPr>
      </w:pPr>
      <w:r>
        <w:rPr>
          <w:rFonts w:eastAsia="Times New Roman" w:cs="Times New Roman"/>
          <w:b/>
          <w:sz w:val="21"/>
          <w:szCs w:val="21"/>
          <w:lang w:eastAsia="it-IT"/>
        </w:rPr>
      </w:r>
    </w:p>
    <w:sectPr>
      <w:type w:val="nextPage"/>
      <w:pgSz w:w="11906" w:h="16838"/>
      <w:pgMar w:left="567" w:right="567" w:gutter="0" w:header="0" w:top="567" w:footer="0" w:bottom="56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OpenSymbol">
    <w:altName w:val="Arial Unicode MS"/>
    <w:charset w:val="01"/>
    <w:family w:val="auto"/>
    <w:pitch w:val="variable"/>
  </w:font>
  <w:font w:name="Liberation Sans">
    <w:altName w:val="Arial"/>
    <w:charset w:val="01"/>
    <w:family w:val="swiss"/>
    <w:pitch w:val="variable"/>
  </w:font>
  <w:font w:name="Times New Roman">
    <w:charset w:val="01"/>
    <w:family w:val="roman"/>
    <w:pitch w:val="variable"/>
  </w:font>
  <w:font w:name="Symbol">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character" w:styleId="DefaultParagraphFont" w:default="1">
    <w:name w:val="Default Paragraph Font"/>
    <w:uiPriority w:val="1"/>
    <w:semiHidden/>
    <w:unhideWhenUsed/>
    <w:qFormat/>
    <w:rPr/>
  </w:style>
  <w:style w:type="character" w:styleId="oypena" w:customStyle="1">
    <w:name w:val="oypena"/>
    <w:basedOn w:val="DefaultParagraphFont"/>
    <w:qFormat/>
    <w:rsid w:val="000e74e9"/>
    <w:rPr/>
  </w:style>
  <w:style w:type="character" w:styleId="gmail-oypena" w:customStyle="1">
    <w:name w:val="gmail-oypena"/>
    <w:basedOn w:val="DefaultParagraphFont"/>
    <w:qFormat/>
    <w:rsid w:val="005a518d"/>
    <w:rPr/>
  </w:style>
  <w:style w:type="character" w:styleId="Hyperlink">
    <w:name w:val="Hyperlink"/>
    <w:basedOn w:val="DefaultParagraphFont"/>
    <w:uiPriority w:val="99"/>
    <w:semiHidden/>
    <w:unhideWhenUsed/>
    <w:rsid w:val="006175ba"/>
    <w:rPr>
      <w:color w:val="0563C1"/>
      <w:u w:val="single"/>
    </w:rPr>
  </w:style>
  <w:style w:type="character" w:styleId="Aufzhlungszeichen">
    <w:name w:val="Aufzählungszeichen"/>
    <w:qFormat/>
    <w:rPr>
      <w:rFonts w:ascii="OpenSymbol" w:hAnsi="OpenSymbol" w:eastAsia="OpenSymbol" w:cs="OpenSymbol"/>
    </w:rPr>
  </w:style>
  <w:style w:type="character" w:styleId="Strong">
    <w:name w:val="Strong"/>
    <w:qFormat/>
    <w:rPr>
      <w:b/>
      <w:bCs/>
    </w:rPr>
  </w:style>
  <w:style w:type="paragraph" w:styleId="berschrift">
    <w:name w:val="Überschrift"/>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Verzeichnis">
    <w:name w:val="Verzeichnis"/>
    <w:basedOn w:val="Normal"/>
    <w:qFormat/>
    <w:pPr>
      <w:suppressLineNumbers/>
    </w:pPr>
    <w:rPr>
      <w:rFonts w:cs="Arial Unicode MS"/>
    </w:rPr>
  </w:style>
  <w:style w:type="paragraph" w:styleId="berschriftuser">
    <w:name w:val="Überschrift (user)"/>
    <w:basedOn w:val="Normal"/>
    <w:next w:val="BodyText"/>
    <w:qFormat/>
    <w:pPr>
      <w:keepNext w:val="true"/>
      <w:spacing w:before="240" w:after="120"/>
    </w:pPr>
    <w:rPr>
      <w:rFonts w:ascii="Liberation Sans" w:hAnsi="Liberation Sans" w:eastAsia="PingFang SC" w:cs="Arial Unicode MS"/>
      <w:sz w:val="28"/>
      <w:szCs w:val="28"/>
    </w:rPr>
  </w:style>
  <w:style w:type="paragraph" w:styleId="Verzeichnisuser">
    <w:name w:val="Verzeichnis (user)"/>
    <w:basedOn w:val="Normal"/>
    <w:qFormat/>
    <w:pPr>
      <w:suppressLineNumbers/>
    </w:pPr>
    <w:rPr>
      <w:rFonts w:cs="Arial Unicode MS"/>
    </w:rPr>
  </w:style>
  <w:style w:type="paragraph" w:styleId="cvgsua" w:customStyle="1">
    <w:name w:val="cvgsua"/>
    <w:basedOn w:val="Normal"/>
    <w:qFormat/>
    <w:rsid w:val="000e74e9"/>
    <w:pPr>
      <w:spacing w:lineRule="auto" w:line="240" w:beforeAutospacing="1" w:afterAutospacing="1"/>
    </w:pPr>
    <w:rPr>
      <w:rFonts w:ascii="Times New Roman" w:hAnsi="Times New Roman" w:eastAsia="Times New Roman" w:cs="Times New Roman"/>
      <w:sz w:val="24"/>
      <w:szCs w:val="24"/>
      <w:lang w:eastAsia="it-IT"/>
    </w:rPr>
  </w:style>
  <w:style w:type="paragraph" w:styleId="gmail-cvgsua" w:customStyle="1">
    <w:name w:val="gmail-cvgsua"/>
    <w:basedOn w:val="Normal"/>
    <w:qFormat/>
    <w:rsid w:val="005a518d"/>
    <w:pPr>
      <w:spacing w:lineRule="auto" w:line="240" w:beforeAutospacing="1" w:afterAutospacing="1"/>
    </w:pPr>
    <w:rPr>
      <w:rFonts w:ascii="Times New Roman" w:hAnsi="Times New Roman" w:eastAsia="Times New Roman" w:cs="Times New Roman"/>
      <w:sz w:val="24"/>
      <w:szCs w:val="24"/>
      <w:lang w:eastAsia="it-IT"/>
    </w:rPr>
  </w:style>
  <w:style w:type="paragraph" w:styleId="Tabelleninhaltuser">
    <w:name w:val="Tabelleninhalt (user)"/>
    <w:basedOn w:val="Normal"/>
    <w:qFormat/>
    <w:pPr>
      <w:widowControl w:val="false"/>
      <w:suppressLineNumbers/>
    </w:pPr>
    <w:rPr/>
  </w:style>
  <w:style w:type="numbering" w:styleId="KeineListe" w:default="1">
    <w:name w:val="Keine Liste"/>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415</TotalTime>
  <Application>LibreOffice/24.8.5.2$MacOSX_AARCH64 LibreOffice_project/fddf2685c70b461e7832239a0162a77216259f22</Application>
  <AppVersion>15.0000</AppVersion>
  <Pages>2</Pages>
  <Words>954</Words>
  <Characters>6497</Characters>
  <CharactersWithSpaces>7400</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2025-03-30T20:44:00Z</dcterms:created>
  <dc:creator>TONEVA, ROSSITZA GUEORGUIEVA U649608</dc:creator>
  <dc:description/>
  <dc:language>it-IT</dc:language>
  <cp:lastModifiedBy/>
  <dcterms:modified xsi:type="dcterms:W3CDTF">2025-05-12T10:19:46Z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file>